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E5DE3" w14:textId="77777777" w:rsidR="007723C1" w:rsidRPr="00D31BA5" w:rsidRDefault="007723C1" w:rsidP="007723C1">
      <w:pPr>
        <w:pStyle w:val="TitlePage"/>
        <w:jc w:val="center"/>
        <w:outlineLvl w:val="0"/>
        <w:rPr>
          <w:b/>
        </w:rPr>
      </w:pPr>
    </w:p>
    <w:tbl>
      <w:tblPr>
        <w:tblW w:w="9567" w:type="dxa"/>
        <w:tblInd w:w="10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7420"/>
        <w:gridCol w:w="2135"/>
      </w:tblGrid>
      <w:tr w:rsidR="00D31BA5" w:rsidRPr="00D31BA5" w14:paraId="6C9F87D9" w14:textId="77777777" w:rsidTr="0058399A">
        <w:trPr>
          <w:gridBefore w:val="1"/>
          <w:wBefore w:w="12" w:type="dxa"/>
        </w:trPr>
        <w:tc>
          <w:tcPr>
            <w:tcW w:w="9555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DB68978" w14:textId="5AE8D2C8" w:rsidR="005430F3" w:rsidRPr="00D31BA5" w:rsidRDefault="005430F3" w:rsidP="00637052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GB"/>
              </w:rPr>
            </w:pPr>
            <w:r w:rsidRPr="00D31BA5">
              <w:rPr>
                <w:rFonts w:ascii="Arial" w:hAnsi="Arial" w:cs="Arial"/>
                <w:b/>
                <w:sz w:val="20"/>
                <w:szCs w:val="20"/>
              </w:rPr>
              <w:t>Position Title:</w:t>
            </w:r>
            <w:r w:rsidR="0050761B" w:rsidRPr="00D31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052" w:rsidRPr="00D31BA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GB"/>
              </w:rPr>
              <w:t xml:space="preserve">Regulatory Affairs Manager, </w:t>
            </w:r>
            <w:r w:rsidR="00E2721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GB"/>
              </w:rPr>
              <w:t>(new Brand)</w:t>
            </w:r>
          </w:p>
          <w:p w14:paraId="041F85E3" w14:textId="192CB4F4" w:rsidR="005430F3" w:rsidRPr="00D31BA5" w:rsidRDefault="005430F3" w:rsidP="00273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  <w:r w:rsidRPr="00D31BA5">
              <w:rPr>
                <w:rFonts w:ascii="Arial" w:hAnsi="Arial" w:cs="Arial"/>
                <w:b/>
                <w:sz w:val="20"/>
                <w:szCs w:val="20"/>
              </w:rPr>
              <w:t>Department Name:</w:t>
            </w:r>
            <w:r w:rsidR="0050761B" w:rsidRPr="00D31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7052" w:rsidRPr="00D31BA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GB"/>
              </w:rPr>
              <w:t xml:space="preserve">Regulatory Affairs </w:t>
            </w:r>
            <w:r w:rsidR="00251BC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GB"/>
              </w:rPr>
              <w:t>C</w:t>
            </w:r>
            <w:r w:rsidR="00637052" w:rsidRPr="00D31BA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GB"/>
              </w:rPr>
              <w:t>EE</w:t>
            </w:r>
          </w:p>
          <w:p w14:paraId="0BAFA6D2" w14:textId="30FA0863" w:rsidR="005430F3" w:rsidRPr="00E27215" w:rsidRDefault="005430F3" w:rsidP="00273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GB"/>
              </w:rPr>
            </w:pPr>
            <w:r w:rsidRPr="00D31BA5">
              <w:rPr>
                <w:rFonts w:ascii="Arial" w:hAnsi="Arial" w:cs="Arial"/>
                <w:b/>
                <w:sz w:val="20"/>
                <w:szCs w:val="20"/>
              </w:rPr>
              <w:t xml:space="preserve">Reports to (title): </w:t>
            </w:r>
            <w:r w:rsidR="0050761B" w:rsidRPr="00D31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4A5A" w:rsidRPr="00D31BA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GB"/>
              </w:rPr>
              <w:t>Head of Regulatory Affairs CE</w:t>
            </w:r>
            <w:r w:rsidR="00251BC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GB"/>
              </w:rPr>
              <w:t>E</w:t>
            </w:r>
          </w:p>
        </w:tc>
      </w:tr>
      <w:tr w:rsidR="00D31BA5" w:rsidRPr="00D31BA5" w14:paraId="549E5DE5" w14:textId="77777777" w:rsidTr="0058399A">
        <w:trPr>
          <w:gridBefore w:val="1"/>
          <w:wBefore w:w="12" w:type="dxa"/>
        </w:trPr>
        <w:tc>
          <w:tcPr>
            <w:tcW w:w="9555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49E5DE4" w14:textId="7B3CC35A" w:rsidR="007723C1" w:rsidRPr="00D31BA5" w:rsidRDefault="007723C1" w:rsidP="00273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  <w:r w:rsidRPr="00D31BA5">
              <w:rPr>
                <w:rFonts w:ascii="Arial" w:hAnsi="Arial" w:cs="Arial"/>
                <w:b/>
                <w:sz w:val="20"/>
                <w:szCs w:val="20"/>
              </w:rPr>
              <w:t>POSITION SUMMARY:</w:t>
            </w:r>
            <w:r w:rsidRPr="00D31BA5">
              <w:rPr>
                <w:rFonts w:ascii="Arial" w:hAnsi="Arial" w:cs="Arial"/>
                <w:sz w:val="20"/>
                <w:szCs w:val="20"/>
              </w:rPr>
              <w:t xml:space="preserve"> Briefly state the objective of this position. </w:t>
            </w:r>
          </w:p>
        </w:tc>
      </w:tr>
      <w:tr w:rsidR="00D31BA5" w:rsidRPr="00D31BA5" w14:paraId="549E5DE8" w14:textId="77777777" w:rsidTr="00915090">
        <w:trPr>
          <w:gridBefore w:val="1"/>
          <w:wBefore w:w="12" w:type="dxa"/>
          <w:trHeight w:hRule="exact" w:val="3303"/>
        </w:trPr>
        <w:tc>
          <w:tcPr>
            <w:tcW w:w="9555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FE5535C" w14:textId="77777777" w:rsidR="001357A3" w:rsidRPr="00D31BA5" w:rsidRDefault="001357A3" w:rsidP="007D3D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C2FC3F" w14:textId="12B8A249" w:rsidR="009D5CE4" w:rsidRPr="00D31BA5" w:rsidRDefault="002D215E" w:rsidP="007B22AF">
            <w:pPr>
              <w:rPr>
                <w:rFonts w:ascii="Arial" w:hAnsi="Arial" w:cs="Arial"/>
                <w:sz w:val="20"/>
                <w:szCs w:val="20"/>
              </w:rPr>
            </w:pPr>
            <w:r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Responsible for coordination and execution of timely r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egistration</w:t>
            </w:r>
            <w:r w:rsidR="006243B8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/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artwork</w:t>
            </w:r>
            <w:r w:rsidR="006243B8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/claims clearance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process</w:t>
            </w:r>
            <w:r w:rsidR="007B22AF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es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for </w:t>
            </w:r>
            <w:r w:rsidR="00251BC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Products in Russia. </w:t>
            </w:r>
            <w:r w:rsidR="007B22AF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M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anages communication with local and regional teams; evaluates and optimizes processes with further </w:t>
            </w:r>
            <w:r w:rsidR="007B22AF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developing and 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updating </w:t>
            </w:r>
            <w:r w:rsidR="007B22AF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regulatory 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SOPs</w:t>
            </w:r>
            <w:r w:rsidR="007B22AF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. Responsible for r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egulatory intelligence gathering, </w:t>
            </w:r>
            <w:r w:rsidR="00BD7F56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risk 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impact assessment</w:t>
            </w:r>
            <w:r w:rsidR="00BD7F56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, elaboration of compliance options, alerting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BD7F56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to management teams 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and </w:t>
            </w:r>
            <w:r w:rsidR="00BD7F56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further 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implementation for </w:t>
            </w:r>
            <w:r w:rsidR="00251BC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Russia. </w:t>
            </w:r>
            <w:r w:rsidR="007B22AF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P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articipate in advocating activities with the purpose of business risk minimization through Trade</w:t>
            </w:r>
            <w:r w:rsidR="007B22AF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/Business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Associations delivering</w:t>
            </w:r>
            <w:r w:rsidR="007B22AF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E2721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company 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aligned position on </w:t>
            </w:r>
            <w:r w:rsidR="007B22AF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regulation’s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issues</w:t>
            </w:r>
            <w:r w:rsidR="009115EE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. </w:t>
            </w:r>
            <w:r w:rsidR="001D25D4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Ensures maintenance of databases with regulatory texts for local over labelling of products in </w:t>
            </w:r>
            <w:r w:rsidR="00251BC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Russia</w:t>
            </w:r>
            <w:r w:rsidR="001D25D4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. </w:t>
            </w:r>
            <w:r w:rsidR="007B22AF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Plan and support budget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execution, ensur</w:t>
            </w:r>
            <w:r w:rsidR="007B22AF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ing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cost-effectiveness of regulatory processes and their compliance with </w:t>
            </w:r>
            <w:r w:rsidR="00E2721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company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policies</w:t>
            </w:r>
            <w:r w:rsidR="003C7B74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.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3C7B74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P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articipate in projects, provides regulatory </w:t>
            </w:r>
            <w:r w:rsidR="007B22AF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consultations</w:t>
            </w:r>
            <w:r w:rsidR="002F0267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upon queries from regional and local teams</w:t>
            </w:r>
            <w:r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. Provide guidance to team members</w:t>
            </w:r>
            <w:r w:rsidR="006B142B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in </w:t>
            </w:r>
            <w:r w:rsidR="00251BC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Russia</w:t>
            </w:r>
            <w:r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including coordination of workload, objective </w:t>
            </w:r>
            <w:proofErr w:type="gramStart"/>
            <w:r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setting</w:t>
            </w:r>
            <w:proofErr w:type="gramEnd"/>
            <w:r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and development plans.</w:t>
            </w:r>
          </w:p>
          <w:p w14:paraId="549E5DE7" w14:textId="59E23E12" w:rsidR="001357A3" w:rsidRPr="00D31BA5" w:rsidRDefault="001357A3" w:rsidP="00C67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BA5" w:rsidRPr="00D31BA5" w14:paraId="549E5DEB" w14:textId="77777777" w:rsidTr="0058399A">
        <w:trPr>
          <w:gridBefore w:val="1"/>
          <w:wBefore w:w="12" w:type="dxa"/>
          <w:trHeight w:val="1260"/>
        </w:trPr>
        <w:tc>
          <w:tcPr>
            <w:tcW w:w="7420" w:type="dxa"/>
            <w:tcBorders>
              <w:top w:val="double" w:sz="12" w:space="0" w:color="auto"/>
              <w:left w:val="double" w:sz="12" w:space="0" w:color="auto"/>
              <w:right w:val="double" w:sz="6" w:space="0" w:color="auto"/>
            </w:tcBorders>
          </w:tcPr>
          <w:p w14:paraId="549E5DE9" w14:textId="3A3A2F7F" w:rsidR="007723C1" w:rsidRPr="00D31BA5" w:rsidRDefault="007723C1" w:rsidP="00A1040D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BA5">
              <w:rPr>
                <w:rFonts w:ascii="Arial" w:hAnsi="Arial" w:cs="Arial"/>
                <w:b/>
                <w:sz w:val="20"/>
                <w:szCs w:val="20"/>
              </w:rPr>
              <w:t xml:space="preserve">PRINCIPAL RESPONSIBILITIES: </w:t>
            </w:r>
            <w:r w:rsidRPr="00D31BA5">
              <w:rPr>
                <w:rFonts w:ascii="Arial" w:hAnsi="Arial" w:cs="Arial"/>
                <w:sz w:val="20"/>
                <w:szCs w:val="20"/>
              </w:rPr>
              <w:t xml:space="preserve">List major responsibilities and duties of the position. </w:t>
            </w:r>
            <w:r w:rsidR="0050761B" w:rsidRPr="00D31BA5">
              <w:rPr>
                <w:rFonts w:ascii="Arial" w:hAnsi="Arial" w:cs="Arial"/>
                <w:sz w:val="20"/>
                <w:szCs w:val="20"/>
              </w:rPr>
              <w:t>I</w:t>
            </w:r>
            <w:r w:rsidRPr="00D31BA5">
              <w:rPr>
                <w:rFonts w:ascii="Arial" w:hAnsi="Arial" w:cs="Arial"/>
                <w:sz w:val="20"/>
                <w:szCs w:val="20"/>
              </w:rPr>
              <w:t xml:space="preserve">ndicate percentage of time required to perform each task. Describe those quantitative aspects of the position which reflect measures that are applicable to the position’s major responsibilities or end results. </w:t>
            </w:r>
          </w:p>
        </w:tc>
        <w:tc>
          <w:tcPr>
            <w:tcW w:w="2135" w:type="dxa"/>
            <w:tcBorders>
              <w:top w:val="double" w:sz="12" w:space="0" w:color="auto"/>
              <w:right w:val="double" w:sz="12" w:space="0" w:color="auto"/>
            </w:tcBorders>
          </w:tcPr>
          <w:p w14:paraId="549E5DEA" w14:textId="5DCD3886" w:rsidR="007723C1" w:rsidRPr="00D31BA5" w:rsidRDefault="007723C1" w:rsidP="00273F4B">
            <w:pPr>
              <w:tabs>
                <w:tab w:val="center" w:pos="581"/>
              </w:tabs>
              <w:suppressAutoHyphens/>
              <w:spacing w:before="90" w:after="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1BA5" w:rsidRPr="00D31BA5" w14:paraId="549E5DEE" w14:textId="77777777" w:rsidTr="0058399A">
        <w:trPr>
          <w:gridBefore w:val="1"/>
          <w:wBefore w:w="12" w:type="dxa"/>
          <w:trHeight w:val="1188"/>
        </w:trPr>
        <w:tc>
          <w:tcPr>
            <w:tcW w:w="7420" w:type="dxa"/>
            <w:tcBorders>
              <w:left w:val="double" w:sz="12" w:space="0" w:color="auto"/>
            </w:tcBorders>
          </w:tcPr>
          <w:p w14:paraId="4A1B52D7" w14:textId="1C3F1FCF" w:rsidR="001D25D4" w:rsidRPr="00D31BA5" w:rsidRDefault="00B06865" w:rsidP="001D25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Manage on</w:t>
            </w:r>
            <w:r w:rsidR="001D25D4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timely registration</w:t>
            </w:r>
            <w:r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, </w:t>
            </w:r>
            <w:r w:rsidR="001D25D4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artwork</w:t>
            </w:r>
            <w:r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and </w:t>
            </w:r>
            <w:r w:rsidR="001D25D4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claims clearance processes for </w:t>
            </w:r>
            <w:r w:rsidR="00251BC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products in Russia</w:t>
            </w:r>
            <w:r w:rsidR="001D25D4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.</w:t>
            </w:r>
          </w:p>
          <w:p w14:paraId="134FD9BA" w14:textId="7AA3BB5A" w:rsidR="001D25D4" w:rsidRPr="00B06865" w:rsidRDefault="00B06865" w:rsidP="001D25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Ensure </w:t>
            </w:r>
            <w:r w:rsidR="001D25D4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regulatory intelligence gathering, impact assessment and implementation for</w:t>
            </w:r>
            <w:r w:rsidR="00E2721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251BC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products in Russia</w:t>
            </w:r>
            <w:r w:rsidR="001D25D4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1D25D4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including:</w:t>
            </w:r>
            <w:proofErr w:type="gramEnd"/>
            <w:r w:rsidR="001D25D4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monitoring technical product-focused legislation; making summary on pending or actual changes and impact risk assessment, aligned with local and regional Regulatory/Legal/appropriate business functions; alerting on impact and compliance options to Business with further implementation of the decisions. </w:t>
            </w:r>
          </w:p>
          <w:p w14:paraId="41CB2B45" w14:textId="16F3D69D" w:rsidR="00B06865" w:rsidRPr="00D31BA5" w:rsidRDefault="00B06865" w:rsidP="001D25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Provide guidance to </w:t>
            </w:r>
            <w:r w:rsidR="00251BC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Russia</w:t>
            </w:r>
            <w:r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team members including coordination of workload, objective </w:t>
            </w:r>
            <w:proofErr w:type="gramStart"/>
            <w:r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setting</w:t>
            </w:r>
            <w:proofErr w:type="gramEnd"/>
            <w:r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and development plans.</w:t>
            </w:r>
          </w:p>
          <w:p w14:paraId="6D3E8C53" w14:textId="18E3BD27" w:rsidR="001D25D4" w:rsidRPr="00D31BA5" w:rsidRDefault="001D25D4" w:rsidP="001D25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Participate in advocating activities with the purpose of business risk minimization through Trade/Business Associations delivering </w:t>
            </w:r>
            <w:r w:rsidR="00E2721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company</w:t>
            </w:r>
            <w:r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aligned position on regulation’s issues (drawing up position papers, amending proposals to regulatory acts, meeting with authorities).</w:t>
            </w:r>
          </w:p>
          <w:p w14:paraId="66D32498" w14:textId="32046015" w:rsidR="001D25D4" w:rsidRPr="00D31BA5" w:rsidRDefault="001D25D4" w:rsidP="001D25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Ensure maint</w:t>
            </w:r>
            <w:r w:rsidR="009D1C83"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e</w:t>
            </w:r>
            <w:r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nance of databases with regulatory texts for local over labelling of products in </w:t>
            </w:r>
            <w:r w:rsidR="00251BC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Russia</w:t>
            </w:r>
            <w:r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.</w:t>
            </w:r>
          </w:p>
          <w:p w14:paraId="6BAD99FB" w14:textId="4D99A149" w:rsidR="001D25D4" w:rsidRPr="00B06865" w:rsidRDefault="001D25D4" w:rsidP="001D25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Plan and support budget execution, ensuring cost-effectiveness of regulatory processes and their compliance with </w:t>
            </w:r>
            <w:r w:rsidR="00E2721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company</w:t>
            </w:r>
            <w:r w:rsidRPr="00D31BA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 policies.</w:t>
            </w:r>
          </w:p>
          <w:p w14:paraId="59A4CD71" w14:textId="103931D7" w:rsidR="001D25D4" w:rsidRPr="00B06865" w:rsidRDefault="00B06865" w:rsidP="009D7C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0686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Manages communication with local and regional teams; evaluates and optimizes processes with further developing and updating regulatory SOPs. </w:t>
            </w:r>
            <w:r w:rsidR="001D25D4" w:rsidRPr="00B06865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 xml:space="preserve">Participate in projects, provides regulatory consultations upon queries from regional and local teams. </w:t>
            </w:r>
          </w:p>
          <w:p w14:paraId="549E5DEC" w14:textId="1E30FDC7" w:rsidR="00C01942" w:rsidRPr="00D31BA5" w:rsidRDefault="00C01942" w:rsidP="00B0686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double" w:sz="6" w:space="0" w:color="auto"/>
              <w:right w:val="double" w:sz="12" w:space="0" w:color="auto"/>
            </w:tcBorders>
          </w:tcPr>
          <w:p w14:paraId="549E5DED" w14:textId="4575E2E1" w:rsidR="00C01942" w:rsidRPr="00D31BA5" w:rsidRDefault="00C01942" w:rsidP="00C01942">
            <w:pPr>
              <w:pStyle w:val="ListParagraph"/>
              <w:tabs>
                <w:tab w:val="left" w:pos="-72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1BA5" w:rsidRPr="00D31BA5" w14:paraId="549E5E06" w14:textId="77777777" w:rsidTr="00EA035C">
        <w:trPr>
          <w:gridBefore w:val="1"/>
          <w:wBefore w:w="12" w:type="dxa"/>
          <w:trHeight w:val="88"/>
        </w:trPr>
        <w:tc>
          <w:tcPr>
            <w:tcW w:w="7420" w:type="dxa"/>
            <w:tcBorders>
              <w:left w:val="double" w:sz="12" w:space="0" w:color="auto"/>
              <w:bottom w:val="double" w:sz="12" w:space="0" w:color="auto"/>
            </w:tcBorders>
          </w:tcPr>
          <w:p w14:paraId="549E5E04" w14:textId="2E16C7FE" w:rsidR="00BC405F" w:rsidRPr="00D31BA5" w:rsidRDefault="00BC405F" w:rsidP="00C01942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double" w:sz="6" w:space="0" w:color="auto"/>
              <w:bottom w:val="double" w:sz="12" w:space="0" w:color="auto"/>
              <w:right w:val="double" w:sz="12" w:space="0" w:color="auto"/>
            </w:tcBorders>
          </w:tcPr>
          <w:p w14:paraId="549E5E05" w14:textId="77777777" w:rsidR="00C01942" w:rsidRPr="00D31BA5" w:rsidRDefault="00C01942" w:rsidP="00C01942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1BA5" w:rsidRPr="00D31BA5" w14:paraId="549E5E08" w14:textId="77777777" w:rsidTr="0058399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2" w:type="dxa"/>
        </w:trPr>
        <w:tc>
          <w:tcPr>
            <w:tcW w:w="9555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</w:tcPr>
          <w:p w14:paraId="549E5E07" w14:textId="725983EF" w:rsidR="00C01942" w:rsidRPr="00D31BA5" w:rsidRDefault="00C01942" w:rsidP="00C0194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  <w:r w:rsidRPr="00D31BA5">
              <w:rPr>
                <w:rFonts w:ascii="Arial" w:hAnsi="Arial" w:cs="Arial"/>
                <w:b/>
                <w:sz w:val="20"/>
                <w:szCs w:val="20"/>
              </w:rPr>
              <w:t>DECISION-MAKING AND PROBLEM-</w:t>
            </w:r>
            <w:proofErr w:type="gramStart"/>
            <w:r w:rsidRPr="00D31BA5">
              <w:rPr>
                <w:rFonts w:ascii="Arial" w:hAnsi="Arial" w:cs="Arial"/>
                <w:b/>
                <w:sz w:val="20"/>
                <w:szCs w:val="20"/>
              </w:rPr>
              <w:t>SOLVING:</w:t>
            </w:r>
            <w:r w:rsidRPr="00D31BA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31B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1BA5" w:rsidRPr="00D31BA5" w14:paraId="549E5E0B" w14:textId="77777777" w:rsidTr="0091509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hRule="exact" w:val="1660"/>
        </w:trPr>
        <w:tc>
          <w:tcPr>
            <w:tcW w:w="9555" w:type="dxa"/>
            <w:gridSpan w:val="2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8D25DDE" w14:textId="77777777" w:rsidR="007D3D74" w:rsidRPr="00D31BA5" w:rsidRDefault="007D3D74" w:rsidP="007D3D74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BA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Possesses organizational knowledge and awareness and understand the business context in which decisions are made. </w:t>
            </w:r>
          </w:p>
          <w:p w14:paraId="536A6999" w14:textId="6AD40119" w:rsidR="007D3D74" w:rsidRPr="00D31BA5" w:rsidRDefault="006B142B" w:rsidP="00915090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BA5">
              <w:rPr>
                <w:rFonts w:ascii="Arial" w:hAnsi="Arial" w:cs="Arial"/>
                <w:color w:val="auto"/>
                <w:sz w:val="20"/>
                <w:szCs w:val="20"/>
              </w:rPr>
              <w:t xml:space="preserve">Provides regulatory advice to local and regional cross-functional teams in respect of meeting product compliance in </w:t>
            </w:r>
            <w:r w:rsidR="00251BC5">
              <w:rPr>
                <w:rFonts w:ascii="Arial" w:hAnsi="Arial" w:cs="Arial"/>
                <w:color w:val="auto"/>
                <w:sz w:val="20"/>
                <w:szCs w:val="20"/>
              </w:rPr>
              <w:t>Russia</w:t>
            </w:r>
            <w:r w:rsidRPr="00D31BA5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  <w:p w14:paraId="549E5E0A" w14:textId="07C140C5" w:rsidR="00C01942" w:rsidRPr="00D31BA5" w:rsidRDefault="006C75D7" w:rsidP="00915090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31BA5">
              <w:rPr>
                <w:rFonts w:ascii="Arial" w:hAnsi="Arial" w:cs="Arial"/>
                <w:color w:val="auto"/>
                <w:sz w:val="20"/>
                <w:szCs w:val="20"/>
              </w:rPr>
              <w:t>Applies understanding and ensures regulatory compliance</w:t>
            </w:r>
            <w:r w:rsidR="006B142B" w:rsidRPr="00D31BA5">
              <w:rPr>
                <w:rFonts w:ascii="Arial" w:hAnsi="Arial" w:cs="Arial"/>
                <w:color w:val="auto"/>
                <w:sz w:val="20"/>
                <w:szCs w:val="20"/>
              </w:rPr>
              <w:t xml:space="preserve"> for products, distributed in </w:t>
            </w:r>
            <w:r w:rsidR="00251BC5">
              <w:rPr>
                <w:rFonts w:ascii="Arial" w:hAnsi="Arial" w:cs="Arial"/>
                <w:color w:val="auto"/>
                <w:sz w:val="20"/>
                <w:szCs w:val="20"/>
              </w:rPr>
              <w:t>Russia</w:t>
            </w:r>
          </w:p>
        </w:tc>
      </w:tr>
      <w:tr w:rsidR="00D31BA5" w:rsidRPr="00D31BA5" w14:paraId="549E5E17" w14:textId="77777777" w:rsidTr="0058399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2" w:type="dxa"/>
        </w:trPr>
        <w:tc>
          <w:tcPr>
            <w:tcW w:w="9555" w:type="dxa"/>
            <w:gridSpan w:val="2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549E5E16" w14:textId="77777777" w:rsidR="00C01942" w:rsidRPr="00D31BA5" w:rsidRDefault="00C01942" w:rsidP="00C0194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  <w:r w:rsidRPr="00D31BA5">
              <w:rPr>
                <w:rFonts w:ascii="Arial" w:hAnsi="Arial" w:cs="Arial"/>
                <w:b/>
                <w:sz w:val="20"/>
                <w:szCs w:val="20"/>
              </w:rPr>
              <w:t xml:space="preserve">RESPONSIBILITY FOR OTHERS (If applicable): </w:t>
            </w:r>
            <w:r w:rsidRPr="00D31BA5">
              <w:rPr>
                <w:rFonts w:ascii="Arial" w:hAnsi="Arial" w:cs="Arial"/>
                <w:sz w:val="20"/>
                <w:szCs w:val="20"/>
              </w:rPr>
              <w:t xml:space="preserve">Describe the nature of supervision exercised over others by this position. Please ensure that it shows the incumbent’s name and position titles of peers, </w:t>
            </w:r>
            <w:proofErr w:type="gramStart"/>
            <w:r w:rsidRPr="00D31BA5">
              <w:rPr>
                <w:rFonts w:ascii="Arial" w:hAnsi="Arial" w:cs="Arial"/>
                <w:sz w:val="20"/>
                <w:szCs w:val="20"/>
              </w:rPr>
              <w:t>staff</w:t>
            </w:r>
            <w:proofErr w:type="gramEnd"/>
            <w:r w:rsidRPr="00D31BA5">
              <w:rPr>
                <w:rFonts w:ascii="Arial" w:hAnsi="Arial" w:cs="Arial"/>
                <w:sz w:val="20"/>
                <w:szCs w:val="20"/>
              </w:rPr>
              <w:t xml:space="preserve"> and supervisor. Include regular/casual full-time and part-time employees, temporaries, co-ops, consultants, etc.</w:t>
            </w:r>
          </w:p>
        </w:tc>
      </w:tr>
      <w:tr w:rsidR="00D31BA5" w:rsidRPr="00D31BA5" w14:paraId="549E5E30" w14:textId="77777777" w:rsidTr="0058399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7" w:type="dxa"/>
            <w:gridSpan w:val="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549E5E2F" w14:textId="38780307" w:rsidR="007723C1" w:rsidRPr="00D31BA5" w:rsidRDefault="007723C1" w:rsidP="00273F4B">
            <w:pPr>
              <w:tabs>
                <w:tab w:val="left" w:pos="-720"/>
                <w:tab w:val="left" w:pos="171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31BA5">
              <w:rPr>
                <w:rFonts w:ascii="Arial" w:hAnsi="Arial" w:cs="Arial"/>
                <w:b/>
                <w:sz w:val="20"/>
                <w:szCs w:val="20"/>
              </w:rPr>
              <w:t xml:space="preserve">EDUCATION &amp; </w:t>
            </w:r>
            <w:proofErr w:type="gramStart"/>
            <w:r w:rsidRPr="00D31BA5">
              <w:rPr>
                <w:rFonts w:ascii="Arial" w:hAnsi="Arial" w:cs="Arial"/>
                <w:b/>
                <w:sz w:val="20"/>
                <w:szCs w:val="20"/>
              </w:rPr>
              <w:t>EXPERIENCE :</w:t>
            </w:r>
            <w:proofErr w:type="gramEnd"/>
            <w:r w:rsidRPr="00D31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75D7" w:rsidRPr="00D31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B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1BA5" w:rsidRPr="00D31BA5" w14:paraId="549E5E32" w14:textId="77777777" w:rsidTr="0058399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9567" w:type="dxa"/>
            <w:gridSpan w:val="3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549E5E31" w14:textId="77777777" w:rsidR="007723C1" w:rsidRPr="00D31BA5" w:rsidRDefault="007723C1" w:rsidP="00273F4B">
            <w:pPr>
              <w:pStyle w:val="TableText"/>
              <w:keepNext w:val="0"/>
              <w:tabs>
                <w:tab w:val="left" w:pos="-720"/>
                <w:tab w:val="left" w:pos="1710"/>
              </w:tabs>
              <w:suppressAutoHyphens/>
              <w:rPr>
                <w:rFonts w:ascii="Arial" w:hAnsi="Arial" w:cs="Arial"/>
              </w:rPr>
            </w:pPr>
          </w:p>
        </w:tc>
      </w:tr>
      <w:tr w:rsidR="00D31BA5" w:rsidRPr="00D31BA5" w14:paraId="549E5E34" w14:textId="77777777" w:rsidTr="0058399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9567" w:type="dxa"/>
            <w:gridSpan w:val="3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058DF23B" w14:textId="77777777" w:rsidR="003C7B74" w:rsidRPr="00D31BA5" w:rsidRDefault="003C7B74" w:rsidP="003C7B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D31BA5">
              <w:rPr>
                <w:rFonts w:ascii="Arial" w:eastAsiaTheme="minorHAnsi" w:hAnsi="Arial" w:cs="Arial"/>
                <w:sz w:val="20"/>
                <w:szCs w:val="20"/>
              </w:rPr>
              <w:t>Higher education (Bachelor/Specialist/</w:t>
            </w:r>
            <w:proofErr w:type="gramStart"/>
            <w:r w:rsidRPr="00D31BA5">
              <w:rPr>
                <w:rFonts w:ascii="Arial" w:eastAsiaTheme="minorHAnsi" w:hAnsi="Arial" w:cs="Arial"/>
                <w:sz w:val="20"/>
                <w:szCs w:val="20"/>
              </w:rPr>
              <w:t>Master</w:t>
            </w:r>
            <w:proofErr w:type="gramEnd"/>
            <w:r w:rsidRPr="00D31BA5">
              <w:rPr>
                <w:rFonts w:ascii="Arial" w:eastAsiaTheme="minorHAnsi" w:hAnsi="Arial" w:cs="Arial"/>
                <w:sz w:val="20"/>
                <w:szCs w:val="20"/>
              </w:rPr>
              <w:t xml:space="preserve"> degree)</w:t>
            </w:r>
          </w:p>
          <w:p w14:paraId="31926D28" w14:textId="77777777" w:rsidR="003C7B74" w:rsidRPr="00D31BA5" w:rsidRDefault="003C7B74" w:rsidP="003C7B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D31BA5">
              <w:rPr>
                <w:rFonts w:ascii="Arial" w:eastAsiaTheme="minorHAnsi" w:hAnsi="Arial" w:cs="Arial"/>
                <w:sz w:val="20"/>
                <w:szCs w:val="20"/>
              </w:rPr>
              <w:t>Relevant experience in regulatory or closely related field</w:t>
            </w:r>
          </w:p>
          <w:p w14:paraId="59725DB3" w14:textId="44B05CB2" w:rsidR="003C7B74" w:rsidRPr="00D31BA5" w:rsidRDefault="003C7B74" w:rsidP="003C7B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D31BA5">
              <w:rPr>
                <w:rFonts w:ascii="Arial" w:eastAsiaTheme="minorHAnsi" w:hAnsi="Arial" w:cs="Arial"/>
                <w:sz w:val="20"/>
                <w:szCs w:val="20"/>
              </w:rPr>
              <w:t xml:space="preserve">Strong knowledge of legislation in the field technical regulation for </w:t>
            </w:r>
            <w:r w:rsidR="0048689E">
              <w:rPr>
                <w:rFonts w:ascii="Arial" w:eastAsiaTheme="minorHAnsi" w:hAnsi="Arial" w:cs="Arial"/>
                <w:sz w:val="20"/>
                <w:szCs w:val="20"/>
              </w:rPr>
              <w:t>Russia / and EAEU</w:t>
            </w:r>
            <w:r w:rsidRPr="00D31BA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48689E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Pr="00D31BA5">
              <w:rPr>
                <w:rFonts w:ascii="Arial" w:eastAsiaTheme="minorHAnsi" w:hAnsi="Arial" w:cs="Arial"/>
                <w:sz w:val="20"/>
                <w:szCs w:val="20"/>
              </w:rPr>
              <w:t>Euro-Asian Community</w:t>
            </w:r>
            <w:r w:rsidR="0048689E">
              <w:rPr>
                <w:rFonts w:ascii="Arial" w:eastAsiaTheme="minorHAnsi" w:hAnsi="Arial" w:cs="Arial"/>
                <w:sz w:val="20"/>
                <w:szCs w:val="20"/>
              </w:rPr>
              <w:t>)</w:t>
            </w:r>
            <w:r w:rsidRPr="00D31BA5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</w:p>
          <w:p w14:paraId="13818D22" w14:textId="77777777" w:rsidR="003C7B74" w:rsidRPr="00D31BA5" w:rsidRDefault="003C7B74" w:rsidP="003C7B7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BA5">
              <w:rPr>
                <w:rFonts w:ascii="Arial" w:hAnsi="Arial" w:cs="Arial"/>
                <w:color w:val="auto"/>
                <w:sz w:val="20"/>
                <w:szCs w:val="20"/>
              </w:rPr>
              <w:t xml:space="preserve">Possesses organizational knowledge and awareness and understand the business context in which decisions are made. </w:t>
            </w:r>
          </w:p>
          <w:p w14:paraId="549E5E33" w14:textId="5E8BC2DB" w:rsidR="00C01942" w:rsidRPr="00D31BA5" w:rsidRDefault="003C7B74" w:rsidP="00E44F6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BA5">
              <w:rPr>
                <w:rFonts w:ascii="Arial" w:hAnsi="Arial" w:cs="Arial"/>
                <w:color w:val="auto"/>
                <w:sz w:val="20"/>
                <w:szCs w:val="20"/>
              </w:rPr>
              <w:t xml:space="preserve">The ability to work in a matrix environment with global </w:t>
            </w:r>
            <w:r w:rsidR="001D25D4" w:rsidRPr="00D31BA5">
              <w:rPr>
                <w:rFonts w:ascii="Arial" w:hAnsi="Arial" w:cs="Arial"/>
                <w:color w:val="auto"/>
                <w:sz w:val="20"/>
                <w:szCs w:val="20"/>
              </w:rPr>
              <w:t xml:space="preserve">and local </w:t>
            </w:r>
            <w:r w:rsidRPr="00D31BA5">
              <w:rPr>
                <w:rFonts w:ascii="Arial" w:hAnsi="Arial" w:cs="Arial"/>
                <w:color w:val="auto"/>
                <w:sz w:val="20"/>
                <w:szCs w:val="20"/>
              </w:rPr>
              <w:t>cross-functional team</w:t>
            </w:r>
            <w:r w:rsidR="001D25D4" w:rsidRPr="00D31BA5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</w:p>
        </w:tc>
      </w:tr>
      <w:tr w:rsidR="00D31BA5" w:rsidRPr="00D31BA5" w14:paraId="549E5E36" w14:textId="77777777" w:rsidTr="0058399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567" w:type="dxa"/>
            <w:gridSpan w:val="3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549E5E35" w14:textId="77777777" w:rsidR="007723C1" w:rsidRPr="00D31BA5" w:rsidRDefault="007723C1" w:rsidP="00273F4B">
            <w:pPr>
              <w:tabs>
                <w:tab w:val="left" w:pos="-720"/>
                <w:tab w:val="left" w:pos="171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BA5" w:rsidRPr="00D31BA5" w14:paraId="549E5E38" w14:textId="77777777" w:rsidTr="0010459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9567" w:type="dxa"/>
            <w:gridSpan w:val="3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49E5E37" w14:textId="77777777" w:rsidR="007723C1" w:rsidRPr="00D31BA5" w:rsidRDefault="007723C1" w:rsidP="00273F4B">
            <w:pPr>
              <w:tabs>
                <w:tab w:val="left" w:pos="-720"/>
                <w:tab w:val="left" w:pos="171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9E5E58" w14:textId="77777777" w:rsidR="007723C1" w:rsidRPr="00D31BA5" w:rsidRDefault="007723C1" w:rsidP="007723C1">
      <w:pPr>
        <w:rPr>
          <w:sz w:val="16"/>
        </w:rPr>
      </w:pPr>
    </w:p>
    <w:p w14:paraId="549E5E59" w14:textId="38BF6B7A" w:rsidR="007723C1" w:rsidRPr="00D31BA5" w:rsidRDefault="007723C1" w:rsidP="007723C1">
      <w:pPr>
        <w:rPr>
          <w:sz w:val="16"/>
        </w:rPr>
      </w:pPr>
    </w:p>
    <w:p w14:paraId="228AE849" w14:textId="45FDFE81" w:rsidR="007411A0" w:rsidRPr="00D31BA5" w:rsidRDefault="007411A0" w:rsidP="007723C1">
      <w:pPr>
        <w:rPr>
          <w:sz w:val="16"/>
        </w:rPr>
      </w:pPr>
    </w:p>
    <w:p w14:paraId="3C19675E" w14:textId="359F4615" w:rsidR="007411A0" w:rsidRPr="00D31BA5" w:rsidRDefault="007411A0" w:rsidP="007723C1">
      <w:pPr>
        <w:rPr>
          <w:sz w:val="16"/>
        </w:rPr>
      </w:pPr>
    </w:p>
    <w:p w14:paraId="3A5071AA" w14:textId="3B255F06" w:rsidR="007411A0" w:rsidRPr="00D31BA5" w:rsidRDefault="007411A0" w:rsidP="007723C1">
      <w:pPr>
        <w:rPr>
          <w:sz w:val="16"/>
        </w:rPr>
      </w:pPr>
    </w:p>
    <w:p w14:paraId="23BB41F9" w14:textId="61DEAA4C" w:rsidR="007411A0" w:rsidRPr="00D31BA5" w:rsidRDefault="007411A0" w:rsidP="007723C1">
      <w:pPr>
        <w:rPr>
          <w:sz w:val="16"/>
        </w:rPr>
      </w:pPr>
    </w:p>
    <w:p w14:paraId="549E5E6A" w14:textId="77777777" w:rsidR="007723C1" w:rsidRPr="00D31BA5" w:rsidRDefault="007723C1" w:rsidP="007723C1">
      <w:pPr>
        <w:autoSpaceDE w:val="0"/>
        <w:autoSpaceDN w:val="0"/>
        <w:adjustRightInd w:val="0"/>
      </w:pPr>
    </w:p>
    <w:p w14:paraId="549E5E6C" w14:textId="77777777" w:rsidR="007B4B0E" w:rsidRPr="00D31BA5" w:rsidRDefault="007B4B0E"/>
    <w:sectPr w:rsidR="007B4B0E" w:rsidRPr="00D31BA5" w:rsidSect="007B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DA2A4" w14:textId="77777777" w:rsidR="00657394" w:rsidRDefault="00657394" w:rsidP="007E05F4">
      <w:r>
        <w:separator/>
      </w:r>
    </w:p>
  </w:endnote>
  <w:endnote w:type="continuationSeparator" w:id="0">
    <w:p w14:paraId="797ADC90" w14:textId="77777777" w:rsidR="00657394" w:rsidRDefault="00657394" w:rsidP="007E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55E24" w14:textId="77777777" w:rsidR="00657394" w:rsidRDefault="00657394" w:rsidP="007E05F4">
      <w:r>
        <w:separator/>
      </w:r>
    </w:p>
  </w:footnote>
  <w:footnote w:type="continuationSeparator" w:id="0">
    <w:p w14:paraId="57F34E8F" w14:textId="77777777" w:rsidR="00657394" w:rsidRDefault="00657394" w:rsidP="007E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7B27"/>
    <w:multiLevelType w:val="hybridMultilevel"/>
    <w:tmpl w:val="406C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7FD7"/>
    <w:multiLevelType w:val="hybridMultilevel"/>
    <w:tmpl w:val="94C6EE8C"/>
    <w:lvl w:ilvl="0" w:tplc="5AC0E30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727F"/>
    <w:multiLevelType w:val="singleLevel"/>
    <w:tmpl w:val="79FC5A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3" w15:restartNumberingAfterBreak="0">
    <w:nsid w:val="13E03A7A"/>
    <w:multiLevelType w:val="hybridMultilevel"/>
    <w:tmpl w:val="CB02A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B00"/>
    <w:multiLevelType w:val="hybridMultilevel"/>
    <w:tmpl w:val="193C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C0A2E"/>
    <w:multiLevelType w:val="hybridMultilevel"/>
    <w:tmpl w:val="193C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450B7"/>
    <w:multiLevelType w:val="hybridMultilevel"/>
    <w:tmpl w:val="85409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6AD5"/>
    <w:multiLevelType w:val="hybridMultilevel"/>
    <w:tmpl w:val="330CA00E"/>
    <w:lvl w:ilvl="0" w:tplc="5AC0E30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A2D5D"/>
    <w:multiLevelType w:val="hybridMultilevel"/>
    <w:tmpl w:val="ECA06BFA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B164446"/>
    <w:multiLevelType w:val="hybridMultilevel"/>
    <w:tmpl w:val="ED4A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911B1"/>
    <w:multiLevelType w:val="singleLevel"/>
    <w:tmpl w:val="79FC5A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1" w15:restartNumberingAfterBreak="0">
    <w:nsid w:val="546625CE"/>
    <w:multiLevelType w:val="multilevel"/>
    <w:tmpl w:val="EE06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E027A6"/>
    <w:multiLevelType w:val="hybridMultilevel"/>
    <w:tmpl w:val="9BE054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5D17A5"/>
    <w:multiLevelType w:val="singleLevel"/>
    <w:tmpl w:val="79FC5A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4" w15:restartNumberingAfterBreak="0">
    <w:nsid w:val="6E61480C"/>
    <w:multiLevelType w:val="hybridMultilevel"/>
    <w:tmpl w:val="94C60ECE"/>
    <w:lvl w:ilvl="0" w:tplc="5AC0E30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D616A"/>
    <w:multiLevelType w:val="hybridMultilevel"/>
    <w:tmpl w:val="E19815D4"/>
    <w:lvl w:ilvl="0" w:tplc="79FC5A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403DD"/>
    <w:multiLevelType w:val="hybridMultilevel"/>
    <w:tmpl w:val="36584DB6"/>
    <w:lvl w:ilvl="0" w:tplc="B00A1D3C">
      <w:start w:val="1"/>
      <w:numFmt w:val="decimal"/>
      <w:lvlText w:val="%1."/>
      <w:lvlJc w:val="left"/>
      <w:pPr>
        <w:ind w:left="560" w:hanging="360"/>
      </w:pPr>
      <w:rPr>
        <w:rFonts w:ascii="Arial" w:eastAsia="Times New Roman" w:hAnsi="Arial" w:cs="Arial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80" w:hanging="360"/>
      </w:pPr>
    </w:lvl>
    <w:lvl w:ilvl="2" w:tplc="0422001B" w:tentative="1">
      <w:start w:val="1"/>
      <w:numFmt w:val="lowerRoman"/>
      <w:lvlText w:val="%3."/>
      <w:lvlJc w:val="right"/>
      <w:pPr>
        <w:ind w:left="2000" w:hanging="180"/>
      </w:pPr>
    </w:lvl>
    <w:lvl w:ilvl="3" w:tplc="0422000F" w:tentative="1">
      <w:start w:val="1"/>
      <w:numFmt w:val="decimal"/>
      <w:lvlText w:val="%4."/>
      <w:lvlJc w:val="left"/>
      <w:pPr>
        <w:ind w:left="2720" w:hanging="360"/>
      </w:pPr>
    </w:lvl>
    <w:lvl w:ilvl="4" w:tplc="04220019" w:tentative="1">
      <w:start w:val="1"/>
      <w:numFmt w:val="lowerLetter"/>
      <w:lvlText w:val="%5."/>
      <w:lvlJc w:val="left"/>
      <w:pPr>
        <w:ind w:left="3440" w:hanging="360"/>
      </w:pPr>
    </w:lvl>
    <w:lvl w:ilvl="5" w:tplc="0422001B" w:tentative="1">
      <w:start w:val="1"/>
      <w:numFmt w:val="lowerRoman"/>
      <w:lvlText w:val="%6."/>
      <w:lvlJc w:val="right"/>
      <w:pPr>
        <w:ind w:left="4160" w:hanging="180"/>
      </w:pPr>
    </w:lvl>
    <w:lvl w:ilvl="6" w:tplc="0422000F" w:tentative="1">
      <w:start w:val="1"/>
      <w:numFmt w:val="decimal"/>
      <w:lvlText w:val="%7."/>
      <w:lvlJc w:val="left"/>
      <w:pPr>
        <w:ind w:left="4880" w:hanging="360"/>
      </w:pPr>
    </w:lvl>
    <w:lvl w:ilvl="7" w:tplc="04220019" w:tentative="1">
      <w:start w:val="1"/>
      <w:numFmt w:val="lowerLetter"/>
      <w:lvlText w:val="%8."/>
      <w:lvlJc w:val="left"/>
      <w:pPr>
        <w:ind w:left="5600" w:hanging="360"/>
      </w:pPr>
    </w:lvl>
    <w:lvl w:ilvl="8" w:tplc="0422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 w15:restartNumberingAfterBreak="0">
    <w:nsid w:val="7553348F"/>
    <w:multiLevelType w:val="hybridMultilevel"/>
    <w:tmpl w:val="EE4A4454"/>
    <w:lvl w:ilvl="0" w:tplc="15F00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13"/>
  </w:num>
  <w:num w:numId="9">
    <w:abstractNumId w:val="6"/>
  </w:num>
  <w:num w:numId="10">
    <w:abstractNumId w:val="6"/>
  </w:num>
  <w:num w:numId="11">
    <w:abstractNumId w:val="12"/>
  </w:num>
  <w:num w:numId="12">
    <w:abstractNumId w:val="15"/>
  </w:num>
  <w:num w:numId="13">
    <w:abstractNumId w:val="11"/>
  </w:num>
  <w:num w:numId="14">
    <w:abstractNumId w:val="14"/>
  </w:num>
  <w:num w:numId="15">
    <w:abstractNumId w:val="1"/>
  </w:num>
  <w:num w:numId="16">
    <w:abstractNumId w:val="0"/>
  </w:num>
  <w:num w:numId="17">
    <w:abstractNumId w:val="7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C1"/>
    <w:rsid w:val="00023FA2"/>
    <w:rsid w:val="000271CD"/>
    <w:rsid w:val="00057D10"/>
    <w:rsid w:val="00104595"/>
    <w:rsid w:val="00105C11"/>
    <w:rsid w:val="00116BAD"/>
    <w:rsid w:val="001357A3"/>
    <w:rsid w:val="001461CE"/>
    <w:rsid w:val="0016787B"/>
    <w:rsid w:val="001B1AD1"/>
    <w:rsid w:val="001C64FF"/>
    <w:rsid w:val="001D25D4"/>
    <w:rsid w:val="00217B76"/>
    <w:rsid w:val="00246029"/>
    <w:rsid w:val="00250240"/>
    <w:rsid w:val="00251BC5"/>
    <w:rsid w:val="00266CD1"/>
    <w:rsid w:val="0029344E"/>
    <w:rsid w:val="002C6E28"/>
    <w:rsid w:val="002D215E"/>
    <w:rsid w:val="002F0267"/>
    <w:rsid w:val="00324641"/>
    <w:rsid w:val="00344A7A"/>
    <w:rsid w:val="00346D3F"/>
    <w:rsid w:val="00373F67"/>
    <w:rsid w:val="00395504"/>
    <w:rsid w:val="003B2472"/>
    <w:rsid w:val="003C7B74"/>
    <w:rsid w:val="003D4E89"/>
    <w:rsid w:val="003D644E"/>
    <w:rsid w:val="003F1F5E"/>
    <w:rsid w:val="003F2259"/>
    <w:rsid w:val="00452327"/>
    <w:rsid w:val="00481EBE"/>
    <w:rsid w:val="0048689E"/>
    <w:rsid w:val="00494065"/>
    <w:rsid w:val="004C6B81"/>
    <w:rsid w:val="004E1BB9"/>
    <w:rsid w:val="004F3F50"/>
    <w:rsid w:val="0050761B"/>
    <w:rsid w:val="005430F3"/>
    <w:rsid w:val="005660D8"/>
    <w:rsid w:val="0058399A"/>
    <w:rsid w:val="005B331A"/>
    <w:rsid w:val="005D3FB1"/>
    <w:rsid w:val="005E3E42"/>
    <w:rsid w:val="006243B8"/>
    <w:rsid w:val="006318A8"/>
    <w:rsid w:val="00637052"/>
    <w:rsid w:val="00657394"/>
    <w:rsid w:val="00694BBE"/>
    <w:rsid w:val="006960CE"/>
    <w:rsid w:val="006A0DE1"/>
    <w:rsid w:val="006B142B"/>
    <w:rsid w:val="006B367C"/>
    <w:rsid w:val="006B66BF"/>
    <w:rsid w:val="006B6C87"/>
    <w:rsid w:val="006C75D7"/>
    <w:rsid w:val="006D60AC"/>
    <w:rsid w:val="006E7875"/>
    <w:rsid w:val="006F64D5"/>
    <w:rsid w:val="0071542B"/>
    <w:rsid w:val="007411A0"/>
    <w:rsid w:val="007723C1"/>
    <w:rsid w:val="007836A1"/>
    <w:rsid w:val="007B22AF"/>
    <w:rsid w:val="007B4B0E"/>
    <w:rsid w:val="007D3D74"/>
    <w:rsid w:val="007E05F4"/>
    <w:rsid w:val="007E6FDF"/>
    <w:rsid w:val="00802D70"/>
    <w:rsid w:val="00866848"/>
    <w:rsid w:val="008C16B5"/>
    <w:rsid w:val="008E7241"/>
    <w:rsid w:val="009115EE"/>
    <w:rsid w:val="00915090"/>
    <w:rsid w:val="00936EEA"/>
    <w:rsid w:val="0094197D"/>
    <w:rsid w:val="00980BDB"/>
    <w:rsid w:val="009C7807"/>
    <w:rsid w:val="009D1C83"/>
    <w:rsid w:val="009D48C4"/>
    <w:rsid w:val="009D5CE4"/>
    <w:rsid w:val="00A1040D"/>
    <w:rsid w:val="00A11716"/>
    <w:rsid w:val="00A26A5C"/>
    <w:rsid w:val="00A303E9"/>
    <w:rsid w:val="00A322D1"/>
    <w:rsid w:val="00A459A6"/>
    <w:rsid w:val="00A51368"/>
    <w:rsid w:val="00A53EAD"/>
    <w:rsid w:val="00A67E8E"/>
    <w:rsid w:val="00A85BEF"/>
    <w:rsid w:val="00A8686E"/>
    <w:rsid w:val="00AF5D55"/>
    <w:rsid w:val="00B0019F"/>
    <w:rsid w:val="00B06865"/>
    <w:rsid w:val="00B074E2"/>
    <w:rsid w:val="00B1543A"/>
    <w:rsid w:val="00B15D5D"/>
    <w:rsid w:val="00B65025"/>
    <w:rsid w:val="00B72F44"/>
    <w:rsid w:val="00B84DD3"/>
    <w:rsid w:val="00B85E01"/>
    <w:rsid w:val="00BC2417"/>
    <w:rsid w:val="00BC405F"/>
    <w:rsid w:val="00BD7F56"/>
    <w:rsid w:val="00BE120D"/>
    <w:rsid w:val="00BE1B4B"/>
    <w:rsid w:val="00BE5C01"/>
    <w:rsid w:val="00C01942"/>
    <w:rsid w:val="00C27E33"/>
    <w:rsid w:val="00C66E9F"/>
    <w:rsid w:val="00C675EF"/>
    <w:rsid w:val="00C85979"/>
    <w:rsid w:val="00C96527"/>
    <w:rsid w:val="00CC748F"/>
    <w:rsid w:val="00CE5DBA"/>
    <w:rsid w:val="00D31BA5"/>
    <w:rsid w:val="00D84145"/>
    <w:rsid w:val="00D94B17"/>
    <w:rsid w:val="00DD4F84"/>
    <w:rsid w:val="00DF307D"/>
    <w:rsid w:val="00E0662A"/>
    <w:rsid w:val="00E25DCF"/>
    <w:rsid w:val="00E27215"/>
    <w:rsid w:val="00E32F6B"/>
    <w:rsid w:val="00E44F63"/>
    <w:rsid w:val="00E67E10"/>
    <w:rsid w:val="00E8697D"/>
    <w:rsid w:val="00EA035C"/>
    <w:rsid w:val="00EA4A5A"/>
    <w:rsid w:val="00EA6063"/>
    <w:rsid w:val="00EC63BE"/>
    <w:rsid w:val="00EE34E8"/>
    <w:rsid w:val="00EF0481"/>
    <w:rsid w:val="00F13C70"/>
    <w:rsid w:val="00F436EA"/>
    <w:rsid w:val="00F45C39"/>
    <w:rsid w:val="00F66E48"/>
    <w:rsid w:val="00FA45CF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5DE1"/>
  <w15:docId w15:val="{B3A7CBA2-A1C5-47FA-8360-AE097ADC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723C1"/>
    <w:pPr>
      <w:keepNext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723C1"/>
    <w:rPr>
      <w:rFonts w:ascii="Arial" w:eastAsia="Times New Roman" w:hAnsi="Arial" w:cs="Arial"/>
      <w:b/>
      <w:bCs/>
      <w:sz w:val="16"/>
      <w:szCs w:val="16"/>
    </w:rPr>
  </w:style>
  <w:style w:type="paragraph" w:customStyle="1" w:styleId="TitlePage">
    <w:name w:val="TitlePage"/>
    <w:rsid w:val="007723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Text"/>
    <w:basedOn w:val="Normal"/>
    <w:rsid w:val="007723C1"/>
    <w:pPr>
      <w:keepNext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4A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4A7A"/>
    <w:rPr>
      <w:rFonts w:ascii="Tahoma" w:eastAsia="Times New Roman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452327"/>
  </w:style>
  <w:style w:type="paragraph" w:styleId="ListParagraph">
    <w:name w:val="List Paragraph"/>
    <w:basedOn w:val="Normal"/>
    <w:uiPriority w:val="34"/>
    <w:qFormat/>
    <w:rsid w:val="00217B76"/>
    <w:pPr>
      <w:ind w:left="720"/>
      <w:contextualSpacing/>
    </w:pPr>
  </w:style>
  <w:style w:type="paragraph" w:styleId="NoSpacing">
    <w:name w:val="No Spacing"/>
    <w:uiPriority w:val="1"/>
    <w:qFormat/>
    <w:rsid w:val="00A1171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E0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F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7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D7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282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120C19496F4469B2B71AD5A8B5916" ma:contentTypeVersion="9" ma:contentTypeDescription="Create a new document." ma:contentTypeScope="" ma:versionID="4eb5a7c28f95f05f895d0c0f73c104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249bee13a9546e8f2c277b12a224b4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0C853C-3E18-4216-8631-C58823B3A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D3EEE-0210-4CE3-9D2C-7A5F96503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A230C-B0E7-47A3-BC52-EF3BDB710902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nkasmai</dc:creator>
  <cp:lastModifiedBy>Valeriya Kobylnik/MSC/RU</cp:lastModifiedBy>
  <cp:revision>4</cp:revision>
  <cp:lastPrinted>2010-11-05T17:06:00Z</cp:lastPrinted>
  <dcterms:created xsi:type="dcterms:W3CDTF">2021-10-25T15:59:00Z</dcterms:created>
  <dcterms:modified xsi:type="dcterms:W3CDTF">2021-10-27T11:49:00Z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0x0101000C1120C19496F4469B2B71AD5A8B5916</vt:lpwstr>
  </property>
  <property fmtid="{D5CDD505-2E9C-101B-9397-08002B2CF9AE}" pid="3" name="Order">
    <vt:r8>204300</vt:r8>
  </property>
</Properties>
</file>